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E55E0E">
        <w:rPr>
          <w:rFonts w:ascii="Arial" w:hAnsi="Arial" w:cs="Arial"/>
          <w:sz w:val="36"/>
          <w:szCs w:val="36"/>
        </w:rPr>
        <w:t>2</w:t>
      </w:r>
    </w:p>
    <w:p w:rsidR="00E17C81" w:rsidRPr="007E610C" w:rsidRDefault="00141E7A" w:rsidP="00FF6231">
      <w:pPr>
        <w:pStyle w:val="Subtitle"/>
        <w:spacing w:before="240" w:after="240"/>
        <w:rPr>
          <w:rFonts w:cs="Arial"/>
          <w:sz w:val="32"/>
          <w:szCs w:val="32"/>
        </w:rPr>
      </w:pPr>
      <w:r w:rsidRPr="007E610C">
        <w:rPr>
          <w:rFonts w:cs="Arial"/>
          <w:sz w:val="32"/>
          <w:szCs w:val="32"/>
        </w:rPr>
        <w:t>HYDROSTATIC, PRESSURE</w:t>
      </w:r>
      <w:r w:rsidR="007E610C" w:rsidRPr="007E610C">
        <w:rPr>
          <w:rFonts w:cs="Arial"/>
          <w:sz w:val="32"/>
          <w:szCs w:val="32"/>
        </w:rPr>
        <w:t>,</w:t>
      </w:r>
      <w:r w:rsidRPr="007E610C">
        <w:rPr>
          <w:rFonts w:cs="Arial"/>
          <w:sz w:val="32"/>
          <w:szCs w:val="32"/>
        </w:rPr>
        <w:t xml:space="preserve"> AND GAS LEAK TESTING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D48A6" w:rsidRDefault="00DD48A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18706A" w:rsidRPr="00C94B4A" w:rsidRDefault="0018706A" w:rsidP="0018706A">
      <w:pPr>
        <w:rPr>
          <w:rFonts w:ascii="Arial" w:hAnsi="Arial" w:cs="Arial"/>
          <w:b/>
          <w:sz w:val="16"/>
          <w:szCs w:val="16"/>
        </w:rPr>
      </w:pPr>
    </w:p>
    <w:p w:rsidR="0018706A" w:rsidRPr="00FF1B63" w:rsidRDefault="0018706A" w:rsidP="0018706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55E0E" w:rsidRPr="00E55E0E" w:rsidRDefault="00E55E0E" w:rsidP="00E55E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5E0E">
        <w:rPr>
          <w:rFonts w:ascii="Arial" w:hAnsi="Arial" w:cs="Arial"/>
          <w:sz w:val="22"/>
          <w:szCs w:val="22"/>
        </w:rPr>
        <w:t xml:space="preserve">Parts not properly cleaned; items may contain foreign material causing immediate or latent failure. </w:t>
      </w:r>
    </w:p>
    <w:p w:rsidR="00E55E0E" w:rsidRPr="00E55E0E" w:rsidRDefault="00E55E0E" w:rsidP="00E55E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5E0E">
        <w:rPr>
          <w:rFonts w:ascii="Arial" w:hAnsi="Arial" w:cs="Arial"/>
          <w:sz w:val="22"/>
          <w:szCs w:val="22"/>
        </w:rPr>
        <w:t xml:space="preserve">Supplier’s procedures and work instructions not reflecting the correct drawing, specifications or other documents that </w:t>
      </w:r>
      <w:r w:rsidR="00DD48A6">
        <w:rPr>
          <w:rFonts w:ascii="Arial" w:hAnsi="Arial" w:cs="Arial"/>
          <w:sz w:val="22"/>
          <w:szCs w:val="22"/>
        </w:rPr>
        <w:t xml:space="preserve">are </w:t>
      </w:r>
      <w:r w:rsidRPr="00E55E0E">
        <w:rPr>
          <w:rFonts w:ascii="Arial" w:hAnsi="Arial" w:cs="Arial"/>
          <w:sz w:val="22"/>
          <w:szCs w:val="22"/>
        </w:rPr>
        <w:t xml:space="preserve">being used to perform the test. </w:t>
      </w:r>
    </w:p>
    <w:p w:rsidR="00E55E0E" w:rsidRPr="00E55E0E" w:rsidRDefault="00E55E0E" w:rsidP="00E55E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5E0E">
        <w:rPr>
          <w:rFonts w:ascii="Arial" w:hAnsi="Arial" w:cs="Arial"/>
          <w:sz w:val="22"/>
          <w:szCs w:val="22"/>
        </w:rPr>
        <w:t>Suppliers not having the necessary gages and measuring devices to permit reliable inspections to meet the p</w:t>
      </w:r>
      <w:r w:rsidR="00DD48A6">
        <w:rPr>
          <w:rFonts w:ascii="Arial" w:hAnsi="Arial" w:cs="Arial"/>
          <w:sz w:val="22"/>
          <w:szCs w:val="22"/>
        </w:rPr>
        <w:t>rocedural acceptance criteria.</w:t>
      </w:r>
    </w:p>
    <w:p w:rsidR="0088122E" w:rsidRPr="00F55EC0" w:rsidRDefault="0088122E" w:rsidP="0088122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Verify the calibration of pressure gages and/or pressure chart recorders, thermo-recorders or thermometer</w:t>
      </w:r>
      <w:r w:rsidR="00DD48A6">
        <w:rPr>
          <w:rFonts w:ascii="Arial" w:hAnsi="Arial" w:cs="Arial"/>
          <w:sz w:val="22"/>
          <w:szCs w:val="22"/>
        </w:rPr>
        <w:t>s</w:t>
      </w:r>
      <w:r w:rsidRPr="00F55EC0">
        <w:rPr>
          <w:rFonts w:ascii="Arial" w:hAnsi="Arial" w:cs="Arial"/>
          <w:sz w:val="22"/>
          <w:szCs w:val="22"/>
        </w:rPr>
        <w:t>, if one is required</w:t>
      </w:r>
      <w:r w:rsidR="000857B7">
        <w:rPr>
          <w:rFonts w:ascii="Arial" w:hAnsi="Arial" w:cs="Arial"/>
          <w:sz w:val="22"/>
          <w:szCs w:val="22"/>
        </w:rPr>
        <w:t>,</w:t>
      </w:r>
      <w:r w:rsidRPr="00F55EC0">
        <w:rPr>
          <w:rFonts w:ascii="Arial" w:hAnsi="Arial" w:cs="Arial"/>
          <w:sz w:val="22"/>
          <w:szCs w:val="22"/>
        </w:rPr>
        <w:t xml:space="preserve"> and gas leak detectors and/or sensors. </w:t>
      </w:r>
    </w:p>
    <w:p w:rsidR="0088122E" w:rsidRPr="00F55EC0" w:rsidRDefault="0088122E" w:rsidP="0088122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Are all marking requirements, including nameplates, as required?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 xml:space="preserve">Prior to testing, ensure satisfactory completion and acceptance of all non-destructive testing including any special tests such as heat treat and hardness testing. 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welding is completed</w:t>
      </w:r>
      <w:r w:rsidR="00DD48A6">
        <w:rPr>
          <w:rFonts w:ascii="Arial" w:hAnsi="Arial" w:cs="Arial"/>
          <w:sz w:val="22"/>
          <w:szCs w:val="22"/>
        </w:rPr>
        <w:t>,</w:t>
      </w:r>
      <w:r w:rsidRPr="00F55EC0">
        <w:rPr>
          <w:rFonts w:ascii="Arial" w:hAnsi="Arial" w:cs="Arial"/>
          <w:sz w:val="22"/>
          <w:szCs w:val="22"/>
        </w:rPr>
        <w:t xml:space="preserve"> all temporary attachments are removed</w:t>
      </w:r>
      <w:r w:rsidR="00DD48A6">
        <w:rPr>
          <w:rFonts w:ascii="Arial" w:hAnsi="Arial" w:cs="Arial"/>
          <w:sz w:val="22"/>
          <w:szCs w:val="22"/>
        </w:rPr>
        <w:t>,</w:t>
      </w:r>
      <w:r w:rsidRPr="00F55EC0">
        <w:rPr>
          <w:rFonts w:ascii="Arial" w:hAnsi="Arial" w:cs="Arial"/>
          <w:sz w:val="22"/>
          <w:szCs w:val="22"/>
        </w:rPr>
        <w:t xml:space="preserve"> and the internal areas of tank are cleaned. 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 xml:space="preserve">If machining is necessary after </w:t>
      </w:r>
      <w:r w:rsidR="00DD48A6">
        <w:rPr>
          <w:rFonts w:ascii="Arial" w:hAnsi="Arial" w:cs="Arial"/>
          <w:sz w:val="22"/>
          <w:szCs w:val="22"/>
        </w:rPr>
        <w:t>various manufacturing processes</w:t>
      </w:r>
      <w:r w:rsidRPr="00F55EC0">
        <w:rPr>
          <w:rFonts w:ascii="Arial" w:hAnsi="Arial" w:cs="Arial"/>
          <w:sz w:val="22"/>
          <w:szCs w:val="22"/>
        </w:rPr>
        <w:t xml:space="preserve"> (i.e. welding, casting), the final pressure test shall be performed after these processes have been satisfactorily performed.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correct material bolts</w:t>
      </w:r>
      <w:r w:rsidR="000857B7">
        <w:rPr>
          <w:rFonts w:ascii="Arial" w:hAnsi="Arial" w:cs="Arial"/>
          <w:sz w:val="22"/>
          <w:szCs w:val="22"/>
        </w:rPr>
        <w:t xml:space="preserve">, </w:t>
      </w:r>
      <w:r w:rsidRPr="00F55EC0">
        <w:rPr>
          <w:rFonts w:ascii="Arial" w:hAnsi="Arial" w:cs="Arial"/>
          <w:sz w:val="22"/>
          <w:szCs w:val="22"/>
        </w:rPr>
        <w:t xml:space="preserve">nuts, and manifold connections that will connect to the item being tested and gauge connections </w:t>
      </w:r>
      <w:r w:rsidR="00DD48A6">
        <w:rPr>
          <w:rFonts w:ascii="Arial" w:hAnsi="Arial" w:cs="Arial"/>
          <w:sz w:val="22"/>
          <w:szCs w:val="22"/>
        </w:rPr>
        <w:t>that are being used are correct,</w:t>
      </w:r>
      <w:r w:rsidRPr="00F55EC0">
        <w:rPr>
          <w:rFonts w:ascii="Arial" w:hAnsi="Arial" w:cs="Arial"/>
          <w:sz w:val="22"/>
          <w:szCs w:val="22"/>
        </w:rPr>
        <w:t xml:space="preserve"> are adequate for the testing to be performed, and that periodic maintenance is being properly accomplished on the testing equipment. 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that all the necessary preparations, installation of temporary piping, vent/drain valves, pump</w:t>
      </w:r>
      <w:r w:rsidR="00B04EA0">
        <w:rPr>
          <w:rFonts w:ascii="Arial" w:hAnsi="Arial" w:cs="Arial"/>
          <w:sz w:val="22"/>
          <w:szCs w:val="22"/>
        </w:rPr>
        <w:t>s,</w:t>
      </w:r>
      <w:r w:rsidRPr="00F55EC0">
        <w:rPr>
          <w:rFonts w:ascii="Arial" w:hAnsi="Arial" w:cs="Arial"/>
          <w:sz w:val="22"/>
          <w:szCs w:val="22"/>
        </w:rPr>
        <w:t xml:space="preserve"> and pressure/tem</w:t>
      </w:r>
      <w:r w:rsidR="00180ECD">
        <w:rPr>
          <w:rFonts w:ascii="Arial" w:hAnsi="Arial" w:cs="Arial"/>
          <w:sz w:val="22"/>
          <w:szCs w:val="22"/>
        </w:rPr>
        <w:t>perature gauges are completed.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Ensure that the pressure gauges used are designed for use with the medium (Water, Air</w:t>
      </w:r>
      <w:r w:rsidR="000857B7">
        <w:rPr>
          <w:rFonts w:ascii="Arial" w:hAnsi="Arial" w:cs="Arial"/>
          <w:sz w:val="22"/>
          <w:szCs w:val="22"/>
        </w:rPr>
        <w:t xml:space="preserve">, </w:t>
      </w:r>
      <w:r w:rsidRPr="00F55EC0">
        <w:rPr>
          <w:rFonts w:ascii="Arial" w:hAnsi="Arial" w:cs="Arial"/>
          <w:sz w:val="22"/>
          <w:szCs w:val="22"/>
        </w:rPr>
        <w:t>Nitrogen</w:t>
      </w:r>
      <w:r w:rsidR="000857B7">
        <w:rPr>
          <w:rFonts w:ascii="Arial" w:hAnsi="Arial" w:cs="Arial"/>
          <w:sz w:val="22"/>
          <w:szCs w:val="22"/>
        </w:rPr>
        <w:t xml:space="preserve">, </w:t>
      </w:r>
      <w:r w:rsidRPr="00F55EC0">
        <w:rPr>
          <w:rFonts w:ascii="Arial" w:hAnsi="Arial" w:cs="Arial"/>
          <w:sz w:val="22"/>
          <w:szCs w:val="22"/>
        </w:rPr>
        <w:t xml:space="preserve">Helium) that is being used and that they are capable of accurately measuring the range of pressure being used in the pressure testing. </w:t>
      </w:r>
    </w:p>
    <w:p w:rsidR="00F55EC0" w:rsidRPr="00F55EC0" w:rsidRDefault="00F55EC0" w:rsidP="00F55EC0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55EC0">
        <w:rPr>
          <w:rFonts w:ascii="Arial" w:hAnsi="Arial" w:cs="Arial"/>
          <w:sz w:val="22"/>
          <w:szCs w:val="22"/>
        </w:rPr>
        <w:t>Build up hydrostatic test pressure gradually and check for tank settlement due to weight of water, or check for valve leakage – porosity of valve shell or seal/</w:t>
      </w:r>
      <w:proofErr w:type="spellStart"/>
      <w:r w:rsidRPr="00F55EC0">
        <w:rPr>
          <w:rFonts w:ascii="Arial" w:hAnsi="Arial" w:cs="Arial"/>
          <w:sz w:val="22"/>
          <w:szCs w:val="22"/>
        </w:rPr>
        <w:t>o-ring</w:t>
      </w:r>
      <w:proofErr w:type="spellEnd"/>
      <w:r w:rsidRPr="00F55EC0">
        <w:rPr>
          <w:rFonts w:ascii="Arial" w:hAnsi="Arial" w:cs="Arial"/>
          <w:sz w:val="22"/>
          <w:szCs w:val="22"/>
        </w:rPr>
        <w:t xml:space="preserve"> leakage at the appropriate pressure boundary areas. 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F55EC0" w:rsidRDefault="00E15742" w:rsidP="00F55EC0">
      <w:pPr>
        <w:pStyle w:val="ListParagraph"/>
        <w:numPr>
          <w:ilvl w:val="0"/>
          <w:numId w:val="26"/>
        </w:numPr>
        <w:rPr>
          <w:rFonts w:ascii="Arial" w:hAnsi="Arial" w:cs="Arial"/>
          <w:b/>
          <w:color w:val="000000"/>
          <w:u w:val="single"/>
        </w:rPr>
      </w:pPr>
      <w:r w:rsidRPr="00F55EC0">
        <w:rPr>
          <w:rFonts w:ascii="Arial" w:hAnsi="Arial" w:cs="Arial"/>
          <w:b/>
          <w:color w:val="000000"/>
          <w:u w:val="single"/>
        </w:rPr>
        <w:lastRenderedPageBreak/>
        <w:t>MANPOWER</w:t>
      </w:r>
      <w:r w:rsidR="00E17C81" w:rsidRPr="00F55EC0">
        <w:rPr>
          <w:rFonts w:ascii="Arial" w:hAnsi="Arial" w:cs="Arial"/>
          <w:b/>
          <w:color w:val="000000"/>
          <w:u w:val="single"/>
        </w:rPr>
        <w:t>:</w:t>
      </w:r>
    </w:p>
    <w:p w:rsidR="00F55EC0" w:rsidRPr="00F55EC0" w:rsidRDefault="00F55EC0" w:rsidP="00F55EC0">
      <w:pPr>
        <w:pStyle w:val="ListParagraph"/>
        <w:rPr>
          <w:rFonts w:ascii="Arial" w:hAnsi="Arial" w:cs="Arial"/>
          <w:color w:val="000000"/>
        </w:rPr>
      </w:pPr>
    </w:p>
    <w:p w:rsidR="00F55EC0" w:rsidRPr="00F55EC0" w:rsidRDefault="00F55EC0" w:rsidP="000857B7">
      <w:pPr>
        <w:pStyle w:val="ListParagraph"/>
        <w:numPr>
          <w:ilvl w:val="0"/>
          <w:numId w:val="13"/>
        </w:numPr>
        <w:spacing w:after="0"/>
        <w:rPr>
          <w:rFonts w:ascii="Arial" w:hAnsi="Arial"/>
          <w:color w:val="000000"/>
          <w:sz w:val="16"/>
          <w:szCs w:val="16"/>
        </w:rPr>
      </w:pPr>
      <w:r w:rsidRPr="00F55EC0">
        <w:rPr>
          <w:rFonts w:ascii="Arial" w:hAnsi="Arial" w:cs="Arial"/>
          <w:color w:val="000000"/>
        </w:rPr>
        <w:t xml:space="preserve">Are the personnel performing the testing and quality assurance functions of the appropriate skill/experience level and/or properly trained/certified to produce conforming product?  </w:t>
      </w:r>
      <w:r w:rsidRPr="00F55EC0">
        <w:rPr>
          <w:rFonts w:ascii="Arial" w:hAnsi="Arial" w:cs="Arial"/>
          <w:b/>
          <w:bCs/>
          <w:i/>
          <w:iCs/>
          <w:color w:val="000000"/>
        </w:rPr>
        <w:t>What are the requirements?</w:t>
      </w:r>
      <w:r w:rsidRPr="00F55EC0">
        <w:rPr>
          <w:rFonts w:ascii="Arial" w:hAnsi="Arial"/>
          <w:b/>
          <w:bCs/>
          <w:i/>
          <w:iCs/>
          <w:color w:val="000000"/>
        </w:rPr>
        <w:t xml:space="preserve"> (</w:t>
      </w:r>
      <w:r w:rsidR="00E72DCC">
        <w:rPr>
          <w:rFonts w:ascii="Arial" w:hAnsi="Arial"/>
          <w:b/>
          <w:bCs/>
          <w:i/>
          <w:iCs/>
          <w:color w:val="000000"/>
        </w:rPr>
        <w:t>S</w:t>
      </w:r>
      <w:r w:rsidRPr="00F55EC0">
        <w:rPr>
          <w:rFonts w:ascii="Arial" w:hAnsi="Arial"/>
          <w:b/>
          <w:bCs/>
          <w:i/>
          <w:iCs/>
          <w:color w:val="000000"/>
        </w:rPr>
        <w:t>ome specifications have specific operator qualification requirements</w:t>
      </w:r>
      <w:r w:rsidR="00E72DCC">
        <w:rPr>
          <w:rFonts w:ascii="Arial" w:hAnsi="Arial"/>
          <w:b/>
          <w:bCs/>
          <w:i/>
          <w:iCs/>
          <w:color w:val="000000"/>
        </w:rPr>
        <w:t>.</w:t>
      </w:r>
      <w:r w:rsidRPr="00F55EC0">
        <w:rPr>
          <w:rFonts w:ascii="Arial" w:hAnsi="Arial"/>
          <w:b/>
          <w:bCs/>
          <w:i/>
          <w:iCs/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6F7497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5672" w:rsidRPr="00C94B4A" w:rsidRDefault="00D95672" w:rsidP="00D9567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test employees familiar with the requirements of</w:t>
      </w:r>
      <w:r w:rsidR="000857B7">
        <w:rPr>
          <w:rFonts w:ascii="Arial" w:hAnsi="Arial" w:cs="Arial"/>
          <w:color w:val="000000"/>
          <w:sz w:val="22"/>
          <w:szCs w:val="22"/>
        </w:rPr>
        <w:t xml:space="preserve"> the test procedure? (NAV02-A4B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6F7497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5672" w:rsidRPr="00D95672" w:rsidRDefault="00F55EC0" w:rsidP="00F55EC0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D95672">
        <w:rPr>
          <w:rFonts w:ascii="Arial" w:hAnsi="Arial"/>
          <w:bCs/>
          <w:iCs/>
          <w:color w:val="000000"/>
          <w:sz w:val="22"/>
          <w:szCs w:val="22"/>
        </w:rPr>
        <w:t>Verify operator proficiency in measuring/test performance? Are training records available, if applicable?</w:t>
      </w:r>
      <w:r w:rsidR="00D95672" w:rsidRPr="00D95672">
        <w:rPr>
          <w:rFonts w:ascii="Arial" w:hAnsi="Arial"/>
          <w:bCs/>
          <w:iCs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6F7497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</w:t>
      </w:r>
      <w:r w:rsidR="00B77518">
        <w:rPr>
          <w:rFonts w:ascii="Arial" w:hAnsi="Arial" w:cs="Arial"/>
          <w:color w:val="000000"/>
          <w:sz w:val="22"/>
          <w:szCs w:val="22"/>
        </w:rPr>
        <w:t xml:space="preserve">any applicable 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6F7497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D95672" w:rsidRDefault="00D95672" w:rsidP="00D95672">
      <w:pPr>
        <w:numPr>
          <w:ilvl w:val="0"/>
          <w:numId w:val="13"/>
        </w:num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  <w:r w:rsidRPr="00D95672">
        <w:rPr>
          <w:rFonts w:ascii="Arial" w:hAnsi="Arial" w:cs="Arial"/>
          <w:color w:val="000000"/>
          <w:sz w:val="22"/>
          <w:szCs w:val="22"/>
        </w:rPr>
        <w:t xml:space="preserve">Are any personnel certifications expired and are the </w:t>
      </w:r>
      <w:r w:rsidR="00CA2D8A">
        <w:rPr>
          <w:rFonts w:ascii="Arial" w:hAnsi="Arial" w:cs="Arial"/>
          <w:color w:val="000000"/>
          <w:sz w:val="22"/>
          <w:szCs w:val="22"/>
        </w:rPr>
        <w:t xml:space="preserve">personnel </w:t>
      </w:r>
      <w:r w:rsidRPr="00D95672">
        <w:rPr>
          <w:rFonts w:ascii="Arial" w:hAnsi="Arial" w:cs="Arial"/>
          <w:color w:val="000000"/>
          <w:sz w:val="22"/>
          <w:szCs w:val="22"/>
        </w:rPr>
        <w:t>still working in the process?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76D0B" w:rsidRPr="00D95672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6F7497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C473B" w:rsidRPr="00C94B4A" w:rsidRDefault="00685504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Level I material, is the product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6F7497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1C4DFD" w:rsidRDefault="00CC473B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Are </w:t>
      </w:r>
      <w:r w:rsidR="00685504">
        <w:rPr>
          <w:rFonts w:ascii="Arial" w:hAnsi="Arial" w:cs="Arial"/>
          <w:sz w:val="22"/>
          <w:szCs w:val="22"/>
        </w:rPr>
        <w:t xml:space="preserve">approved cleaning and flushing mediums used? </w:t>
      </w:r>
      <w:r w:rsidR="00C723B1">
        <w:rPr>
          <w:rFonts w:ascii="Arial" w:hAnsi="Arial" w:cs="Arial"/>
          <w:sz w:val="22"/>
          <w:szCs w:val="22"/>
        </w:rPr>
        <w:t xml:space="preserve"> </w:t>
      </w:r>
      <w:r w:rsidR="001C4DFD" w:rsidRPr="001C4DFD">
        <w:rPr>
          <w:rFonts w:ascii="Arial" w:hAnsi="Arial"/>
          <w:sz w:val="22"/>
          <w:szCs w:val="22"/>
        </w:rPr>
        <w:t>Are wiping and cleaning cloths for parts checked for grease, oil, etc., content?</w:t>
      </w:r>
      <w:r w:rsidR="00D95672">
        <w:rPr>
          <w:rFonts w:ascii="Arial" w:hAnsi="Arial"/>
          <w:sz w:val="22"/>
          <w:szCs w:val="22"/>
        </w:rPr>
        <w:t xml:space="preserve"> (NAV02-A1</w:t>
      </w:r>
      <w:r w:rsidR="006F7497">
        <w:rPr>
          <w:rFonts w:ascii="Arial" w:hAnsi="Arial"/>
          <w:sz w:val="22"/>
          <w:szCs w:val="22"/>
        </w:rPr>
        <w:t>B</w:t>
      </w:r>
      <w:r w:rsidR="00D95672">
        <w:rPr>
          <w:rFonts w:ascii="Arial" w:hAnsi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6F7497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685504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the </w:t>
      </w:r>
      <w:r w:rsidRPr="006E54D7">
        <w:rPr>
          <w:rFonts w:ascii="Arial" w:hAnsi="Arial"/>
          <w:color w:val="000000"/>
          <w:sz w:val="22"/>
        </w:rPr>
        <w:t>detection sensors and/or</w:t>
      </w:r>
      <w:r>
        <w:rPr>
          <w:rFonts w:ascii="Arial" w:hAnsi="Arial"/>
          <w:color w:val="000000"/>
          <w:sz w:val="22"/>
        </w:rPr>
        <w:t xml:space="preserve"> devices used to measure leakage in good working order?</w:t>
      </w:r>
      <w:r w:rsidR="007333C2">
        <w:rPr>
          <w:rFonts w:ascii="Arial" w:hAnsi="Arial"/>
          <w:color w:val="000000"/>
          <w:sz w:val="22"/>
        </w:rPr>
        <w:t xml:space="preserve"> </w:t>
      </w:r>
      <w:r w:rsidR="00941DB2">
        <w:rPr>
          <w:rFonts w:ascii="Arial" w:hAnsi="Arial"/>
          <w:color w:val="000000"/>
          <w:sz w:val="22"/>
        </w:rPr>
        <w:t xml:space="preserve"> </w:t>
      </w:r>
      <w:r w:rsidR="007333C2">
        <w:rPr>
          <w:rFonts w:ascii="Arial" w:hAnsi="Arial"/>
          <w:color w:val="000000"/>
          <w:sz w:val="22"/>
        </w:rPr>
        <w:t>Are they of the correct value to permit reliable measurement of leakage?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6F7497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7333C2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If packing is used for test purposes, is it the same type as that which is required to be delivered with the product?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6F7497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757855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>Are the materials used to clean the items after test non-detrimental to the part?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6F7497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A1725" w:rsidRDefault="003A1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C4DFD" w:rsidRPr="001C4DFD">
        <w:rPr>
          <w:rFonts w:ascii="Arial" w:hAnsi="Arial" w:cs="Arial"/>
          <w:b/>
          <w:color w:val="000000"/>
          <w:sz w:val="22"/>
          <w:szCs w:val="22"/>
          <w:u w:val="single"/>
        </w:rPr>
        <w:t>M</w:t>
      </w:r>
      <w:r w:rsidR="001C4DFD">
        <w:rPr>
          <w:rFonts w:ascii="Arial" w:hAnsi="Arial" w:cs="Arial"/>
          <w:b/>
          <w:color w:val="000000"/>
          <w:sz w:val="22"/>
          <w:szCs w:val="22"/>
          <w:u w:val="single"/>
        </w:rPr>
        <w:t>ACHINERY</w:t>
      </w:r>
      <w:r w:rsidR="00E17C81" w:rsidRPr="001C4DFD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:rsidR="0088426F" w:rsidRPr="003C7039" w:rsidRDefault="001C4DFD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>
        <w:rPr>
          <w:rFonts w:ascii="Arial" w:hAnsi="Arial"/>
        </w:rPr>
        <w:t xml:space="preserve">Does the supplier have the necessary gages, </w:t>
      </w:r>
      <w:r w:rsidRPr="006E54D7">
        <w:rPr>
          <w:rFonts w:ascii="Arial" w:hAnsi="Arial"/>
        </w:rPr>
        <w:t>measuring detection sensors and/or</w:t>
      </w:r>
      <w:r w:rsidRPr="008F1B4D">
        <w:rPr>
          <w:rFonts w:ascii="Arial" w:hAnsi="Arial"/>
          <w:highlight w:val="yellow"/>
        </w:rPr>
        <w:t xml:space="preserve"> </w:t>
      </w:r>
      <w:r w:rsidRPr="006E54D7">
        <w:rPr>
          <w:rFonts w:ascii="Arial" w:hAnsi="Arial"/>
        </w:rPr>
        <w:t>devices</w:t>
      </w:r>
      <w:r>
        <w:rPr>
          <w:rFonts w:ascii="Arial" w:hAnsi="Arial"/>
        </w:rPr>
        <w:t xml:space="preserve"> to permit reliable inspections to meet the procedural acceptance criteria?</w:t>
      </w:r>
      <w:r w:rsidR="00D95672">
        <w:rPr>
          <w:rFonts w:ascii="Arial" w:hAnsi="Arial"/>
        </w:rPr>
        <w:t xml:space="preserve"> (NAV02-A3)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6F7497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6F7497" w:rsidRDefault="001C4DFD" w:rsidP="001C4DFD">
      <w:pPr>
        <w:pStyle w:val="BodyText2"/>
        <w:numPr>
          <w:ilvl w:val="0"/>
          <w:numId w:val="21"/>
        </w:numPr>
        <w:spacing w:before="240" w:line="276" w:lineRule="auto"/>
        <w:ind w:left="1094"/>
        <w:contextualSpacing/>
        <w:rPr>
          <w:rFonts w:ascii="Arial" w:hAnsi="Arial" w:cs="Arial"/>
          <w:szCs w:val="22"/>
        </w:rPr>
      </w:pPr>
      <w:r w:rsidRPr="006F7497">
        <w:rPr>
          <w:rFonts w:ascii="Arial" w:hAnsi="Arial"/>
        </w:rPr>
        <w:t>Are the test instruments within the required range for the test pressure being performed? (e.g. normally test value is 2/3 of maximum gage reading)</w:t>
      </w:r>
      <w:r w:rsidR="00D95672" w:rsidRPr="006F7497">
        <w:rPr>
          <w:rFonts w:ascii="Arial" w:hAnsi="Arial"/>
        </w:rPr>
        <w:t xml:space="preserve"> (NAV02-A5)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3C7039" w:rsidRDefault="00FF3AA4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3AA4">
        <w:rPr>
          <w:rFonts w:ascii="Arial" w:hAnsi="Arial" w:cs="Arial"/>
          <w:color w:val="000000"/>
        </w:rPr>
        <w:t xml:space="preserve">Is </w:t>
      </w:r>
      <w:r w:rsidRPr="00FF3AA4">
        <w:rPr>
          <w:rFonts w:ascii="Arial" w:hAnsi="Arial" w:cs="Arial"/>
          <w:b/>
          <w:color w:val="000000"/>
        </w:rPr>
        <w:t>inspection and testing equipment</w:t>
      </w:r>
      <w:r w:rsidRPr="00FF3AA4">
        <w:rPr>
          <w:rFonts w:ascii="Arial" w:hAnsi="Arial" w:cs="Arial"/>
          <w:color w:val="000000"/>
        </w:rPr>
        <w:t xml:space="preserve"> of the required adequacy, accuracy, precision, and range to assure supplies produced comply with specifications and drawings?  </w:t>
      </w:r>
      <w:r w:rsidRPr="00FF3AA4">
        <w:rPr>
          <w:rFonts w:ascii="Arial" w:hAnsi="Arial" w:cs="Arial"/>
          <w:i/>
          <w:color w:val="000000"/>
        </w:rPr>
        <w:t>What Items were sampled and were they part of the supplier’s calibration program and within the calibration/check cycle?</w:t>
      </w:r>
      <w:r w:rsidR="00D95672">
        <w:rPr>
          <w:rFonts w:ascii="Arial" w:hAnsi="Arial" w:cs="Arial"/>
          <w:b/>
          <w:i/>
          <w:color w:val="000000"/>
        </w:rPr>
        <w:t xml:space="preserve"> </w:t>
      </w:r>
      <w:r w:rsidR="00D95672" w:rsidRPr="00D95672">
        <w:rPr>
          <w:rFonts w:ascii="Arial" w:hAnsi="Arial" w:cs="Arial"/>
          <w:color w:val="000000"/>
        </w:rPr>
        <w:t>(NAV02-A6)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9536FA" w:rsidRDefault="001C4DFD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i/>
          <w:color w:val="000000"/>
        </w:rPr>
      </w:pPr>
      <w:r>
        <w:rPr>
          <w:rFonts w:ascii="Arial" w:hAnsi="Arial"/>
        </w:rPr>
        <w:t>Does the supplier maintain cleanliness and provide for protection of test equipment? Is there a clean room for the machinery?</w:t>
      </w:r>
      <w:r w:rsidR="00D95672">
        <w:rPr>
          <w:rFonts w:ascii="Arial" w:hAnsi="Arial"/>
        </w:rPr>
        <w:t xml:space="preserve"> (NAV02-A9)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3C7039" w:rsidRDefault="001C4DFD" w:rsidP="00FF669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>
        <w:rPr>
          <w:rFonts w:ascii="Arial" w:hAnsi="Arial"/>
        </w:rPr>
        <w:t>Are clocks and/or timers available, where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308EB" w:rsidRDefault="003308E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BA7F78" w:rsidRDefault="00BA7F78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BA7F78">
        <w:rPr>
          <w:rFonts w:ascii="Arial" w:hAnsi="Arial"/>
          <w:sz w:val="22"/>
          <w:szCs w:val="22"/>
        </w:rPr>
        <w:t>Has the hydro or gas leak detection testing procedure been approved by the Navy? If applicable, list the Reference Approval Number.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A517C7" w:rsidRDefault="00BA7F78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/>
        </w:rPr>
        <w:t xml:space="preserve">Does the supplier have an approved cleanliness/flushing procedure? </w:t>
      </w:r>
      <w:r w:rsidR="00941D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Review a sample of the documents and record. </w:t>
      </w:r>
      <w:r w:rsidR="00D95672">
        <w:rPr>
          <w:rFonts w:ascii="Arial" w:hAnsi="Arial"/>
        </w:rPr>
        <w:t>(NAV02-A1</w:t>
      </w:r>
      <w:r w:rsidR="003308EB">
        <w:rPr>
          <w:rFonts w:ascii="Arial" w:hAnsi="Arial"/>
        </w:rPr>
        <w:t>A/C</w:t>
      </w:r>
      <w:r w:rsidR="00D95672">
        <w:rPr>
          <w:rFonts w:ascii="Arial" w:hAnsi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3A1725" w:rsidRDefault="00BA7F78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/>
        </w:rPr>
        <w:t xml:space="preserve">Do the suppliers’ procedures and work </w:t>
      </w:r>
      <w:r w:rsidR="00D04578">
        <w:rPr>
          <w:rFonts w:ascii="Arial" w:hAnsi="Arial"/>
        </w:rPr>
        <w:t>instruction</w:t>
      </w:r>
      <w:r>
        <w:rPr>
          <w:rFonts w:ascii="Arial" w:hAnsi="Arial"/>
        </w:rPr>
        <w:t>s reflect the correct drawing, specifications or other documents that are to be used to perform the test?</w:t>
      </w:r>
      <w:r w:rsidR="00D04578">
        <w:rPr>
          <w:rFonts w:ascii="Arial" w:hAnsi="Arial"/>
        </w:rPr>
        <w:t xml:space="preserve"> </w:t>
      </w:r>
      <w:r>
        <w:rPr>
          <w:rFonts w:ascii="Arial" w:hAnsi="Arial"/>
        </w:rPr>
        <w:t xml:space="preserve"> What</w:t>
      </w:r>
      <w:r>
        <w:rPr>
          <w:rFonts w:ascii="Arial" w:hAnsi="Arial"/>
          <w:b/>
          <w:bCs/>
          <w:i/>
          <w:iCs/>
        </w:rPr>
        <w:t xml:space="preserve"> </w:t>
      </w:r>
      <w:r w:rsidRPr="00635B32">
        <w:rPr>
          <w:rFonts w:ascii="Arial" w:hAnsi="Arial"/>
          <w:bCs/>
          <w:iCs/>
        </w:rPr>
        <w:t>documents (identifying number &amp; rev) were reviewed?</w:t>
      </w:r>
      <w:r w:rsidR="00D95672">
        <w:rPr>
          <w:rFonts w:ascii="Arial" w:hAnsi="Arial"/>
          <w:bCs/>
          <w:iCs/>
        </w:rPr>
        <w:t xml:space="preserve"> (NAV02-A2)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BA7F78" w:rsidRDefault="00BA7F78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BA7F78">
        <w:rPr>
          <w:rFonts w:ascii="Arial" w:hAnsi="Arial"/>
          <w:sz w:val="22"/>
          <w:szCs w:val="22"/>
        </w:rPr>
        <w:t>Is the applicable test procedure readily available to the individual performing the test?</w:t>
      </w:r>
      <w:r w:rsidR="00D95672">
        <w:rPr>
          <w:rFonts w:ascii="Arial" w:hAnsi="Arial"/>
          <w:sz w:val="22"/>
          <w:szCs w:val="22"/>
        </w:rPr>
        <w:t xml:space="preserve"> </w:t>
      </w:r>
      <w:r w:rsidR="00342885">
        <w:rPr>
          <w:rFonts w:ascii="Arial" w:hAnsi="Arial"/>
          <w:sz w:val="22"/>
          <w:szCs w:val="22"/>
        </w:rPr>
        <w:t xml:space="preserve"> </w:t>
      </w:r>
      <w:r w:rsidR="003308EB">
        <w:rPr>
          <w:rFonts w:ascii="Arial" w:hAnsi="Arial"/>
          <w:color w:val="000000"/>
          <w:sz w:val="22"/>
        </w:rPr>
        <w:t>Does the procedure include a system for the indication of inspection status (e.g. test operation sign-off/inspection stamping)?</w:t>
      </w:r>
      <w:r w:rsidR="00342885" w:rsidRPr="00342885">
        <w:rPr>
          <w:rFonts w:ascii="Arial" w:hAnsi="Arial"/>
          <w:sz w:val="22"/>
          <w:szCs w:val="22"/>
        </w:rPr>
        <w:t xml:space="preserve"> </w:t>
      </w:r>
      <w:r w:rsidR="00342885">
        <w:rPr>
          <w:rFonts w:ascii="Arial" w:hAnsi="Arial"/>
          <w:sz w:val="22"/>
          <w:szCs w:val="22"/>
        </w:rPr>
        <w:t>(NAV02-A4)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BA7F78" w:rsidRDefault="00BA7F78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BA7F78">
        <w:rPr>
          <w:rFonts w:ascii="Arial" w:hAnsi="Arial"/>
          <w:color w:val="000000"/>
        </w:rPr>
        <w:t>Is the product adequately identified on the traveler/router to provide clear material traceability throughout processing?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308EB" w:rsidRDefault="003308EB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br w:type="page"/>
      </w:r>
    </w:p>
    <w:p w:rsidR="00056900" w:rsidRPr="00C94B4A" w:rsidRDefault="002273D5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lastRenderedPageBreak/>
        <w:t>Is all the pertinent information relating to th</w:t>
      </w:r>
      <w:r w:rsidR="003308EB">
        <w:rPr>
          <w:rFonts w:ascii="Arial" w:hAnsi="Arial"/>
          <w:color w:val="000000"/>
          <w:sz w:val="22"/>
        </w:rPr>
        <w:t>e</w:t>
      </w:r>
      <w:r>
        <w:rPr>
          <w:rFonts w:ascii="Arial" w:hAnsi="Arial"/>
          <w:color w:val="000000"/>
          <w:sz w:val="22"/>
        </w:rPr>
        <w:t xml:space="preserve"> test being recorded</w:t>
      </w:r>
      <w:r w:rsidR="00342885">
        <w:rPr>
          <w:rFonts w:ascii="Arial" w:hAnsi="Arial"/>
          <w:color w:val="000000"/>
          <w:sz w:val="22"/>
        </w:rPr>
        <w:t>,</w:t>
      </w:r>
      <w:r>
        <w:rPr>
          <w:rFonts w:ascii="Arial" w:hAnsi="Arial"/>
          <w:color w:val="000000"/>
          <w:sz w:val="22"/>
        </w:rPr>
        <w:t xml:space="preserve"> and </w:t>
      </w:r>
      <w:r w:rsidR="00342885">
        <w:rPr>
          <w:rFonts w:ascii="Arial" w:hAnsi="Arial"/>
          <w:color w:val="000000"/>
          <w:sz w:val="22"/>
        </w:rPr>
        <w:t xml:space="preserve">is it </w:t>
      </w:r>
      <w:r>
        <w:rPr>
          <w:rFonts w:ascii="Arial" w:hAnsi="Arial"/>
          <w:color w:val="000000"/>
          <w:sz w:val="22"/>
        </w:rPr>
        <w:t>traceable back to the instrument used?</w:t>
      </w:r>
      <w:r w:rsidR="0007429B">
        <w:rPr>
          <w:rFonts w:ascii="Arial" w:hAnsi="Arial"/>
          <w:color w:val="000000"/>
          <w:sz w:val="22"/>
        </w:rPr>
        <w:t xml:space="preserve"> </w:t>
      </w:r>
      <w:r w:rsidR="00342885">
        <w:rPr>
          <w:rFonts w:ascii="Arial" w:hAnsi="Arial"/>
          <w:color w:val="000000"/>
          <w:sz w:val="22"/>
        </w:rPr>
        <w:t xml:space="preserve"> </w:t>
      </w:r>
      <w:r w:rsidR="0007429B">
        <w:rPr>
          <w:rFonts w:ascii="Arial" w:hAnsi="Arial"/>
          <w:color w:val="000000"/>
          <w:sz w:val="22"/>
        </w:rPr>
        <w:t>Review and record a sample of test records to verify traceability of test instruments. (NAV02-A11</w:t>
      </w:r>
      <w:r w:rsidR="003308EB">
        <w:rPr>
          <w:rFonts w:ascii="Arial" w:hAnsi="Arial"/>
          <w:color w:val="000000"/>
          <w:sz w:val="22"/>
        </w:rPr>
        <w:t>A/B</w:t>
      </w:r>
      <w:r w:rsidR="0007429B">
        <w:rPr>
          <w:rFonts w:ascii="Arial" w:hAnsi="Arial"/>
          <w:color w:val="000000"/>
          <w:sz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C94B4A" w:rsidRDefault="002273D5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Does the supplier comply with the sample testing requirements of the approved procedure?</w:t>
      </w:r>
      <w:r w:rsidR="00D95672">
        <w:rPr>
          <w:rFonts w:ascii="Arial" w:hAnsi="Arial"/>
          <w:color w:val="000000"/>
          <w:sz w:val="22"/>
        </w:rPr>
        <w:t xml:space="preserve"> (NAV02-A8)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273D5" w:rsidRPr="00C94B4A" w:rsidRDefault="002273D5" w:rsidP="002273D5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Does the supplier have a documented system for maintaining system component cleanliness integrity? </w:t>
      </w:r>
      <w:r w:rsidR="00342885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Does the supplier maintain cleanliness during test?</w:t>
      </w:r>
      <w:r w:rsidR="00342885">
        <w:rPr>
          <w:rFonts w:ascii="Arial" w:hAnsi="Arial" w:cs="Arial"/>
          <w:sz w:val="22"/>
          <w:szCs w:val="22"/>
        </w:rPr>
        <w:t xml:space="preserve">    </w:t>
      </w:r>
      <w:r w:rsidR="00D95672">
        <w:rPr>
          <w:rFonts w:ascii="Arial" w:hAnsi="Arial" w:cs="Arial"/>
          <w:sz w:val="22"/>
          <w:szCs w:val="22"/>
        </w:rPr>
        <w:t xml:space="preserve"> (NAV02-A7</w:t>
      </w:r>
      <w:r w:rsidR="003308EB">
        <w:rPr>
          <w:rFonts w:ascii="Arial" w:hAnsi="Arial" w:cs="Arial"/>
          <w:sz w:val="22"/>
          <w:szCs w:val="22"/>
        </w:rPr>
        <w:t>/A10</w:t>
      </w:r>
      <w:r w:rsidR="0007429B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</w:t>
      </w:r>
      <w:r w:rsidR="002273D5">
        <w:rPr>
          <w:rFonts w:ascii="Arial" w:hAnsi="Arial"/>
        </w:rPr>
        <w:t>area where the work is being performed uncluttered, clean and free from dirt and debris?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2273D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Are proper precautions taken to protect material after test?</w:t>
      </w:r>
      <w:r w:rsidR="006F223C">
        <w:rPr>
          <w:rFonts w:ascii="Arial" w:hAnsi="Arial"/>
          <w:color w:val="000000"/>
        </w:rPr>
        <w:t xml:space="preserve"> (</w:t>
      </w:r>
      <w:proofErr w:type="gramStart"/>
      <w:r w:rsidR="006F223C">
        <w:rPr>
          <w:rFonts w:ascii="Arial" w:hAnsi="Arial"/>
          <w:color w:val="000000"/>
        </w:rPr>
        <w:t>parts</w:t>
      </w:r>
      <w:proofErr w:type="gramEnd"/>
      <w:r w:rsidR="006F223C">
        <w:rPr>
          <w:rFonts w:ascii="Arial" w:hAnsi="Arial"/>
          <w:color w:val="000000"/>
        </w:rPr>
        <w:t xml:space="preserve"> properly cleaned and stored to prevent corrosion after test).</w:t>
      </w:r>
      <w:r w:rsidR="0007429B">
        <w:rPr>
          <w:rFonts w:ascii="Arial" w:hAnsi="Arial"/>
          <w:color w:val="000000"/>
        </w:rPr>
        <w:t xml:space="preserve"> (NAV02-B12)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308EB" w:rsidRDefault="003308EB">
      <w:pPr>
        <w:rPr>
          <w:rFonts w:ascii="Arial" w:eastAsia="Calibri" w:hAnsi="Arial"/>
          <w:color w:val="000000"/>
          <w:sz w:val="22"/>
          <w:szCs w:val="22"/>
        </w:rPr>
      </w:pPr>
      <w:r>
        <w:rPr>
          <w:rFonts w:ascii="Arial" w:hAnsi="Arial"/>
          <w:color w:val="000000"/>
        </w:rPr>
        <w:br w:type="page"/>
      </w:r>
    </w:p>
    <w:p w:rsidR="008D53E5" w:rsidRPr="00FF1B63" w:rsidRDefault="006F223C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lastRenderedPageBreak/>
        <w:t xml:space="preserve">Are cleaning chemicals stored in an area separate from the testing area?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3308EB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223C" w:rsidRPr="006F223C" w:rsidRDefault="006F223C" w:rsidP="003308EB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F223C">
        <w:rPr>
          <w:rFonts w:ascii="Arial" w:hAnsi="Arial" w:cs="Arial"/>
          <w:color w:val="000000"/>
        </w:rPr>
        <w:t xml:space="preserve">Is there adequate ventilation in the cleaning area?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F223C" w:rsidRPr="00C94B4A" w:rsidTr="009742B5">
        <w:trPr>
          <w:trHeight w:val="1440"/>
        </w:trPr>
        <w:tc>
          <w:tcPr>
            <w:tcW w:w="9576" w:type="dxa"/>
            <w:shd w:val="clear" w:color="auto" w:fill="auto"/>
          </w:tcPr>
          <w:p w:rsidR="006F223C" w:rsidRPr="003308EB" w:rsidRDefault="006F223C" w:rsidP="009742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223C" w:rsidRPr="006F223C" w:rsidRDefault="006F223C" w:rsidP="003308EB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b/>
          <w:color w:val="000000"/>
        </w:rPr>
      </w:pPr>
      <w:r>
        <w:rPr>
          <w:rFonts w:ascii="Arial" w:hAnsi="Arial"/>
          <w:color w:val="000000"/>
        </w:rPr>
        <w:t xml:space="preserve">Is Personal Protective Equipment (PPE) </w:t>
      </w:r>
      <w:r w:rsidR="00525899">
        <w:rPr>
          <w:rFonts w:ascii="Arial" w:hAnsi="Arial"/>
          <w:color w:val="000000"/>
        </w:rPr>
        <w:t xml:space="preserve">that may be required </w:t>
      </w:r>
      <w:r>
        <w:rPr>
          <w:rFonts w:ascii="Arial" w:hAnsi="Arial"/>
          <w:color w:val="000000"/>
        </w:rPr>
        <w:t>available? (</w:t>
      </w:r>
      <w:proofErr w:type="gramStart"/>
      <w:r>
        <w:rPr>
          <w:rFonts w:ascii="Arial" w:hAnsi="Arial"/>
          <w:color w:val="000000"/>
        </w:rPr>
        <w:t>eye-wash</w:t>
      </w:r>
      <w:proofErr w:type="gramEnd"/>
      <w:r>
        <w:rPr>
          <w:rFonts w:ascii="Arial" w:hAnsi="Arial"/>
          <w:color w:val="000000"/>
        </w:rPr>
        <w:t xml:space="preserve"> stations located in the work area, face-shields, chemical resistant aprons and gloves; are they easily accessible?)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F223C" w:rsidRPr="00C94B4A" w:rsidTr="009742B5">
        <w:trPr>
          <w:trHeight w:val="1440"/>
        </w:trPr>
        <w:tc>
          <w:tcPr>
            <w:tcW w:w="9576" w:type="dxa"/>
            <w:shd w:val="clear" w:color="auto" w:fill="auto"/>
          </w:tcPr>
          <w:p w:rsidR="006F223C" w:rsidRPr="003308EB" w:rsidRDefault="006F223C" w:rsidP="009742B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8D5AD6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8D5AD6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8D5AD6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E7" w:rsidRDefault="004272E7">
      <w:r>
        <w:separator/>
      </w:r>
    </w:p>
  </w:endnote>
  <w:endnote w:type="continuationSeparator" w:id="0">
    <w:p w:rsidR="004272E7" w:rsidRDefault="0042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657B15">
      <w:rPr>
        <w:rFonts w:ascii="Arial" w:hAnsi="Arial"/>
        <w:color w:val="000000"/>
        <w:sz w:val="16"/>
        <w:szCs w:val="16"/>
      </w:rPr>
      <w:t>0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A760CE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Revised by NSEO 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>
      <w:rPr>
        <w:rFonts w:ascii="Arial" w:hAnsi="Arial"/>
        <w:color w:val="000000"/>
        <w:sz w:val="16"/>
        <w:szCs w:val="16"/>
      </w:rPr>
      <w:t>5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E7" w:rsidRDefault="004272E7">
      <w:r>
        <w:separator/>
      </w:r>
    </w:p>
  </w:footnote>
  <w:footnote w:type="continuationSeparator" w:id="0">
    <w:p w:rsidR="004272E7" w:rsidRDefault="0042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9E163574"/>
    <w:lvl w:ilvl="0" w:tplc="EF7C1F2C">
      <w:start w:val="1"/>
      <w:numFmt w:val="decimal"/>
      <w:lvlText w:val="%1."/>
      <w:lvlJc w:val="left"/>
      <w:pPr>
        <w:ind w:left="1095" w:hanging="375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E42AB188"/>
    <w:lvl w:ilvl="0" w:tplc="476C5464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03323"/>
    <w:multiLevelType w:val="hybridMultilevel"/>
    <w:tmpl w:val="280002D6"/>
    <w:lvl w:ilvl="0" w:tplc="18446F7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D9602B"/>
    <w:multiLevelType w:val="hybridMultilevel"/>
    <w:tmpl w:val="2514F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F224F0"/>
    <w:multiLevelType w:val="hybridMultilevel"/>
    <w:tmpl w:val="669A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C81E4C"/>
    <w:multiLevelType w:val="hybridMultilevel"/>
    <w:tmpl w:val="FDFC5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22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61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DC2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0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8A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34B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0D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4F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9A7A3F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23"/>
  </w:num>
  <w:num w:numId="10">
    <w:abstractNumId w:val="15"/>
  </w:num>
  <w:num w:numId="11">
    <w:abstractNumId w:val="22"/>
  </w:num>
  <w:num w:numId="12">
    <w:abstractNumId w:val="24"/>
  </w:num>
  <w:num w:numId="13">
    <w:abstractNumId w:val="0"/>
  </w:num>
  <w:num w:numId="14">
    <w:abstractNumId w:val="25"/>
  </w:num>
  <w:num w:numId="15">
    <w:abstractNumId w:val="1"/>
  </w:num>
  <w:num w:numId="16">
    <w:abstractNumId w:val="17"/>
  </w:num>
  <w:num w:numId="17">
    <w:abstractNumId w:val="18"/>
  </w:num>
  <w:num w:numId="18">
    <w:abstractNumId w:val="4"/>
  </w:num>
  <w:num w:numId="19">
    <w:abstractNumId w:val="20"/>
  </w:num>
  <w:num w:numId="20">
    <w:abstractNumId w:val="9"/>
  </w:num>
  <w:num w:numId="21">
    <w:abstractNumId w:val="5"/>
  </w:num>
  <w:num w:numId="22">
    <w:abstractNumId w:val="8"/>
  </w:num>
  <w:num w:numId="23">
    <w:abstractNumId w:val="3"/>
  </w:num>
  <w:num w:numId="24">
    <w:abstractNumId w:val="21"/>
  </w:num>
  <w:num w:numId="25">
    <w:abstractNumId w:val="1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10B0"/>
    <w:rsid w:val="00071346"/>
    <w:rsid w:val="0007429B"/>
    <w:rsid w:val="0007431B"/>
    <w:rsid w:val="000811A4"/>
    <w:rsid w:val="00082343"/>
    <w:rsid w:val="000857B7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C4794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E7A"/>
    <w:rsid w:val="00141F22"/>
    <w:rsid w:val="001475E9"/>
    <w:rsid w:val="001506B8"/>
    <w:rsid w:val="0015134F"/>
    <w:rsid w:val="00152798"/>
    <w:rsid w:val="00160606"/>
    <w:rsid w:val="00166986"/>
    <w:rsid w:val="00172B58"/>
    <w:rsid w:val="00176D61"/>
    <w:rsid w:val="00180ECD"/>
    <w:rsid w:val="00181855"/>
    <w:rsid w:val="00184176"/>
    <w:rsid w:val="0018706A"/>
    <w:rsid w:val="001A02EE"/>
    <w:rsid w:val="001A36C3"/>
    <w:rsid w:val="001A7EC2"/>
    <w:rsid w:val="001B361A"/>
    <w:rsid w:val="001B4425"/>
    <w:rsid w:val="001C4DFD"/>
    <w:rsid w:val="001C693D"/>
    <w:rsid w:val="001D1B40"/>
    <w:rsid w:val="001D3D49"/>
    <w:rsid w:val="001D6CC7"/>
    <w:rsid w:val="001E53C5"/>
    <w:rsid w:val="001F6506"/>
    <w:rsid w:val="00201FD1"/>
    <w:rsid w:val="00210A74"/>
    <w:rsid w:val="002126AA"/>
    <w:rsid w:val="00222605"/>
    <w:rsid w:val="002250AE"/>
    <w:rsid w:val="00226BF2"/>
    <w:rsid w:val="002273D5"/>
    <w:rsid w:val="00240A99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0516"/>
    <w:rsid w:val="00321828"/>
    <w:rsid w:val="00323389"/>
    <w:rsid w:val="00325F28"/>
    <w:rsid w:val="003308EB"/>
    <w:rsid w:val="00332F15"/>
    <w:rsid w:val="0033426B"/>
    <w:rsid w:val="003376D7"/>
    <w:rsid w:val="00342885"/>
    <w:rsid w:val="003448E7"/>
    <w:rsid w:val="00345B64"/>
    <w:rsid w:val="00350690"/>
    <w:rsid w:val="0036325C"/>
    <w:rsid w:val="003776F4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2E7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8211D"/>
    <w:rsid w:val="00484B1B"/>
    <w:rsid w:val="004854C6"/>
    <w:rsid w:val="004857D3"/>
    <w:rsid w:val="00486C79"/>
    <w:rsid w:val="00490A15"/>
    <w:rsid w:val="004914CE"/>
    <w:rsid w:val="004A58B6"/>
    <w:rsid w:val="004B0BEA"/>
    <w:rsid w:val="004C00EA"/>
    <w:rsid w:val="004C3515"/>
    <w:rsid w:val="004C397F"/>
    <w:rsid w:val="004C42AC"/>
    <w:rsid w:val="004C5679"/>
    <w:rsid w:val="004C7E6C"/>
    <w:rsid w:val="004D29F5"/>
    <w:rsid w:val="004D4605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25899"/>
    <w:rsid w:val="0053001C"/>
    <w:rsid w:val="0053051D"/>
    <w:rsid w:val="00531DE1"/>
    <w:rsid w:val="0053419F"/>
    <w:rsid w:val="00534918"/>
    <w:rsid w:val="005430FE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4D6B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4752"/>
    <w:rsid w:val="006074AF"/>
    <w:rsid w:val="00620AE2"/>
    <w:rsid w:val="006247E4"/>
    <w:rsid w:val="00631DE0"/>
    <w:rsid w:val="00631DFC"/>
    <w:rsid w:val="00632866"/>
    <w:rsid w:val="0063747B"/>
    <w:rsid w:val="006419E0"/>
    <w:rsid w:val="006513FF"/>
    <w:rsid w:val="00657B15"/>
    <w:rsid w:val="00665513"/>
    <w:rsid w:val="00673993"/>
    <w:rsid w:val="00673C7F"/>
    <w:rsid w:val="006776FA"/>
    <w:rsid w:val="00683EC0"/>
    <w:rsid w:val="00685504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23C"/>
    <w:rsid w:val="006F2372"/>
    <w:rsid w:val="006F3BCC"/>
    <w:rsid w:val="006F47E5"/>
    <w:rsid w:val="006F577B"/>
    <w:rsid w:val="006F591E"/>
    <w:rsid w:val="006F7497"/>
    <w:rsid w:val="006F7DC0"/>
    <w:rsid w:val="007014B9"/>
    <w:rsid w:val="007137FE"/>
    <w:rsid w:val="00715A1B"/>
    <w:rsid w:val="00721B13"/>
    <w:rsid w:val="00721FA5"/>
    <w:rsid w:val="007266DF"/>
    <w:rsid w:val="00727C98"/>
    <w:rsid w:val="007320F5"/>
    <w:rsid w:val="007329A7"/>
    <w:rsid w:val="007333C2"/>
    <w:rsid w:val="00734E96"/>
    <w:rsid w:val="00735132"/>
    <w:rsid w:val="00735DB3"/>
    <w:rsid w:val="00746F79"/>
    <w:rsid w:val="00757855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E610C"/>
    <w:rsid w:val="007F1D7C"/>
    <w:rsid w:val="007F2C07"/>
    <w:rsid w:val="008008C9"/>
    <w:rsid w:val="0080493D"/>
    <w:rsid w:val="00833258"/>
    <w:rsid w:val="00833370"/>
    <w:rsid w:val="00834977"/>
    <w:rsid w:val="0083759D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122E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D5AD6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04AFB"/>
    <w:rsid w:val="009141FF"/>
    <w:rsid w:val="00924497"/>
    <w:rsid w:val="00931067"/>
    <w:rsid w:val="00936514"/>
    <w:rsid w:val="00941DB2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5673"/>
    <w:rsid w:val="009D3D6B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760CE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04EA0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E82"/>
    <w:rsid w:val="00B76E2A"/>
    <w:rsid w:val="00B77518"/>
    <w:rsid w:val="00BA3A91"/>
    <w:rsid w:val="00BA4F20"/>
    <w:rsid w:val="00BA7F78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23B1"/>
    <w:rsid w:val="00C76D0B"/>
    <w:rsid w:val="00C8143A"/>
    <w:rsid w:val="00C94B4A"/>
    <w:rsid w:val="00C95B89"/>
    <w:rsid w:val="00C96211"/>
    <w:rsid w:val="00CA2D8A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04578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672"/>
    <w:rsid w:val="00D95766"/>
    <w:rsid w:val="00D97571"/>
    <w:rsid w:val="00D97592"/>
    <w:rsid w:val="00D97CB4"/>
    <w:rsid w:val="00DA0B6B"/>
    <w:rsid w:val="00DA5BA8"/>
    <w:rsid w:val="00DB13E4"/>
    <w:rsid w:val="00DC1ECB"/>
    <w:rsid w:val="00DC3030"/>
    <w:rsid w:val="00DC3EF3"/>
    <w:rsid w:val="00DC6AAA"/>
    <w:rsid w:val="00DD0ED6"/>
    <w:rsid w:val="00DD48A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53F06"/>
    <w:rsid w:val="00E55E0E"/>
    <w:rsid w:val="00E577EB"/>
    <w:rsid w:val="00E6094B"/>
    <w:rsid w:val="00E6431A"/>
    <w:rsid w:val="00E676D7"/>
    <w:rsid w:val="00E70AA8"/>
    <w:rsid w:val="00E72DCC"/>
    <w:rsid w:val="00E73C7D"/>
    <w:rsid w:val="00E80392"/>
    <w:rsid w:val="00E84843"/>
    <w:rsid w:val="00E8633C"/>
    <w:rsid w:val="00E914B5"/>
    <w:rsid w:val="00E9647E"/>
    <w:rsid w:val="00E9781A"/>
    <w:rsid w:val="00EB0C02"/>
    <w:rsid w:val="00EB603D"/>
    <w:rsid w:val="00EB6D40"/>
    <w:rsid w:val="00EC3A6B"/>
    <w:rsid w:val="00EC3A9A"/>
    <w:rsid w:val="00EC79D3"/>
    <w:rsid w:val="00ED63E0"/>
    <w:rsid w:val="00EE1AB0"/>
    <w:rsid w:val="00EE23C8"/>
    <w:rsid w:val="00EE3FDB"/>
    <w:rsid w:val="00EF3A6D"/>
    <w:rsid w:val="00F032AB"/>
    <w:rsid w:val="00F033F7"/>
    <w:rsid w:val="00F130C9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55EC0"/>
    <w:rsid w:val="00F61A6E"/>
    <w:rsid w:val="00F6318B"/>
    <w:rsid w:val="00F63D42"/>
    <w:rsid w:val="00F77BF4"/>
    <w:rsid w:val="00F90DC0"/>
    <w:rsid w:val="00F92DB4"/>
    <w:rsid w:val="00F93DCE"/>
    <w:rsid w:val="00F94EA3"/>
    <w:rsid w:val="00F9500E"/>
    <w:rsid w:val="00FA2BF3"/>
    <w:rsid w:val="00FA6577"/>
    <w:rsid w:val="00FB0B19"/>
    <w:rsid w:val="00FC119D"/>
    <w:rsid w:val="00FC11C9"/>
    <w:rsid w:val="00FD39B2"/>
    <w:rsid w:val="00FD5296"/>
    <w:rsid w:val="00FF1B63"/>
    <w:rsid w:val="00FF237B"/>
    <w:rsid w:val="00FF3AA4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09240-91B8-448F-8ABC-F1CC3FD5ECB4}"/>
</file>

<file path=customXml/itemProps2.xml><?xml version="1.0" encoding="utf-8"?>
<ds:datastoreItem xmlns:ds="http://schemas.openxmlformats.org/officeDocument/2006/customXml" ds:itemID="{1DF00120-35C6-432B-899B-C819EC620785}"/>
</file>

<file path=customXml/itemProps3.xml><?xml version="1.0" encoding="utf-8"?>
<ds:datastoreItem xmlns:ds="http://schemas.openxmlformats.org/officeDocument/2006/customXml" ds:itemID="{FB93A9DE-6F62-436A-9C59-D0F32D784E3C}"/>
</file>

<file path=customXml/itemProps4.xml><?xml version="1.0" encoding="utf-8"?>
<ds:datastoreItem xmlns:ds="http://schemas.openxmlformats.org/officeDocument/2006/customXml" ds:itemID="{6ACBD09D-14A7-4BB9-A3EC-834E20DD5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2014-09-30T15:46:00Z</dcterms:created>
  <dcterms:modified xsi:type="dcterms:W3CDTF">2014-12-17T11:09:00Z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